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sz w:val="18"/>
          <w:szCs w:val="18"/>
        </w:rPr>
      </w:pPr>
      <w:r>
        <w:rPr>
          <w:rFonts w:hint="eastAsia" w:ascii="Arial" w:hAnsi="Arial" w:cs="Arial"/>
          <w:i w:val="0"/>
          <w:caps w:val="0"/>
          <w:color w:val="000000"/>
          <w:spacing w:val="0"/>
          <w:sz w:val="18"/>
          <w:szCs w:val="18"/>
          <w:bdr w:val="none" w:color="auto" w:sz="0" w:space="0"/>
        </w:rPr>
        <w:t>18方移动压缩垃圾站（压缩垃圾箱）</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color w:val="666666"/>
        </w:rPr>
      </w:pPr>
      <w:r>
        <w:rPr>
          <w:i w:val="0"/>
          <w:caps w:val="0"/>
          <w:color w:val="666666"/>
          <w:spacing w:val="0"/>
          <w:bdr w:val="none" w:color="auto" w:sz="0" w:space="0"/>
        </w:rPr>
        <w:t>全方位高清图展示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8572500" cy="51435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8572500" cy="51435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移动式垃圾压缩站用途及产品特点：可加我微信了解更多信息</w:t>
      </w:r>
      <w:r>
        <w:rPr>
          <w:rFonts w:hint="default" w:ascii="Arial" w:hAnsi="Arial" w:cs="Arial"/>
          <w:i w:val="0"/>
          <w:caps w:val="0"/>
          <w:color w:val="666666"/>
          <w:spacing w:val="0"/>
          <w:sz w:val="18"/>
          <w:szCs w:val="18"/>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620000" cy="507682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7620000" cy="5076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18方移动压缩垃圾站多角度图片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620000" cy="507682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7620000" cy="5076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18方移动压缩垃圾站多角度图片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620000" cy="5076825"/>
            <wp:effectExtent l="0" t="0" r="0"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7620000" cy="5076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18方移动压缩垃圾站多角度图片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620000" cy="5076825"/>
            <wp:effectExtent l="0" t="0" r="0"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7620000" cy="5076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CLW-JGLT生活垃圾压缩机整机结构由压缩腔、压缩头、料斗举升装置及连体式料斗、压缩垃圾存储部分、后门及密封系统、液压系统、控制系统组成。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1.1 压缩腔和压缩头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  CLW-JGLT的压缩头、压缩腔及垃圾存储箱等关键部位均使用高强度、耐磨、耐腐蚀钢板制造，使整个设备的综合使用寿命得到了极大提高，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并且在各个旋转铰接部位全部采用自润滑轴承或关节轴承，极大提高了转动部位的寿命。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压缩头由耐腐蚀高强度合金钢板焊接而成，采用无导轨设计。四周间隙小，可有效防止垃圾滞留在机体内。压缩腔内设置固定抓钩，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可防止压挤进去的垃圾回弹；压缩推板采用双曲线外形设计，可使压缩比达到最大。投料口大，投装垃圾更方便。压缩头的所有部件均进行了严格的防腐、防锈、耐磨处理。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10763250" cy="2695575"/>
            <wp:effectExtent l="0" t="0" r="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10763250" cy="2695575"/>
                    </a:xfrm>
                    <a:prstGeom prst="rect">
                      <a:avLst/>
                    </a:prstGeom>
                    <a:noFill/>
                    <a:ln w="9525">
                      <a:noFill/>
                    </a:ln>
                  </pic:spPr>
                </pic:pic>
              </a:graphicData>
            </a:graphic>
          </wp:inline>
        </w:drawing>
      </w:r>
      <w:r>
        <w:rPr>
          <w:rFonts w:hint="default" w:ascii="Arial" w:hAnsi="Arial" w:cs="Arial"/>
          <w:i w:val="0"/>
          <w:caps w:val="0"/>
          <w:color w:val="666666"/>
          <w:spacing w:val="0"/>
          <w:sz w:val="18"/>
          <w:szCs w:val="18"/>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无导轨、双曲线外形设计的压缩头                                                        带有破碎与防回弹功能的固定抓钩与压缩头配合使用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破碎防回弹装置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1.2料斗及举升机构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CLW-JGLT料斗及举升装置，是通过举升机构将特制的料斗与箱体连为一体的系统总成。需要装入垃圾时将料斗放下，倒入垃圾，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然后通过举升机构将料斗举起，把垃圾倒入压缩腔。运输时料斗直接盖在压缩腔上方，与箱体一起转运。这种结构使用方便，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用户的使用现场只需要有380V外接电源即可开始使用，充分提高了设备的转场使用效率。该设备的料斗举升机构是在充分研究了法国、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荷兰以及国内典型产品的基础上，吸取各家之长，独立设计开发的，拥有完全的自主知识产权，具有重量轻，强度高，举升灵活、可靠，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耐久性好的突出特点。而我们配备的料斗不论用户是使用板车、电动车还是小型自卸车和拖拉机，均能进行配套使用。 连体结构的举升系统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料斗及举升机构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压缩腔两侧的污水排放装置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1.4 </w:t>
      </w:r>
      <w:r>
        <w:rPr>
          <w:rFonts w:hint="default" w:ascii="Arial" w:hAnsi="Arial" w:cs="Arial"/>
          <w:b/>
          <w:i w:val="0"/>
          <w:caps w:val="0"/>
          <w:color w:val="666666"/>
          <w:spacing w:val="0"/>
          <w:sz w:val="18"/>
          <w:szCs w:val="18"/>
          <w:bdr w:val="none" w:color="auto" w:sz="0" w:space="0"/>
        </w:rPr>
        <w:t>后门总成及锁紧、密封系统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后门总成采用整板制作，造型圆滑美观。后门锁紧采用液压油缸锁紧机构，从拉臂车取动力，自动操作，操作简单可靠，并且后门开启角度达100度，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使垃圾倾倒更彻底干净。整体式双唇结构密封胶条，具有优异的密封性能，能有效防止污水的渗漏和气味的散发，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即便在无法排污的情况下也能保证设备在压缩及转运过程中不会出现污水泄露的现象。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5"/>
                    <a:stretch>
                      <a:fillRect/>
                    </a:stretch>
                  </pic:blipFill>
                  <pic:spPr>
                    <a:xfrm>
                      <a:off x="0" y="0"/>
                      <a:ext cx="7143750" cy="5362575"/>
                    </a:xfrm>
                    <a:prstGeom prst="rect">
                      <a:avLst/>
                    </a:prstGeom>
                    <a:noFill/>
                    <a:ln w="9525">
                      <a:noFill/>
                    </a:ln>
                  </pic:spPr>
                </pic:pic>
              </a:graphicData>
            </a:graphic>
          </wp:inline>
        </w:drawing>
      </w:r>
      <w:r>
        <w:rPr>
          <w:rFonts w:hint="default" w:ascii="Arial" w:hAnsi="Arial" w:cs="Arial"/>
          <w:i w:val="0"/>
          <w:caps w:val="0"/>
          <w:color w:val="666666"/>
          <w:spacing w:val="0"/>
          <w:sz w:val="18"/>
          <w:szCs w:val="18"/>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整板后门总成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                          与主车配套的后门液压油缸锁紧机构                                 双峰结构密封胶条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24"/>
          <w:szCs w:val="24"/>
          <w:bdr w:val="none" w:color="auto" w:sz="0" w:space="0"/>
        </w:rPr>
        <w:t>1.5 液压系统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液压系统主要部件选用全球各大知名品牌的产品，均为原装进口件，保证液压系统的可靠性。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      该设备具备欧洲同步领先技术，所以对噪声的控制更加的严格，对主要的噪音来源都进行了降噪措施，比如在结构件的接触部位均加装了缓冲装置；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      液压系统采用抽屉式安装，外形美观，节约空间，同时便于液压系统检修。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      设备只需要一台5.5KW电机即可实现全部的工作动作，平均每处理1吨垃圾耗电量仅为0.7度左右，能源消耗十分有限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                                                                    液压系统与电机图片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1.6电气控制系统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电器控制系统采用微处理器（PLC）系统，即可实现自动记忆程序控制的连续自动操作，又可使用手工点动操作。各机构运转通过预设程序相互关联、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互锁，有效确保设备运行的安全性。电气系统配有15KAV的稳压电源，并且接地保护。系统具有垃圾装载量显示和满载预警及指示功</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24"/>
          <w:szCs w:val="24"/>
          <w:bdr w:val="none" w:color="auto" w:sz="0" w:space="0"/>
        </w:rPr>
        <w:t>系统自带故障诊断系统，自诊断包括油温高温警报，相位错误警报，马达过载报警和机械卡死故障报警。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所有的指示信息、预警、报警以及厢体内垃圾压缩的填充情况均可在控制面板上液晶显示器里清晰显示。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系统具有良好的安全防护性能，配置了紧急停止控制器和紧急回推控制器，保证设备在使用时一旦出现问题可以立即停机；并使压缩头不论在任何工位均可退回至初始工作位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整个系统电器元件均采用带有防水功能的器件，同时在安装过程中使用防护罩和密封胶条进行密封防护。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cs="Arial"/>
          <w:i w:val="0"/>
          <w:caps w:val="0"/>
          <w:color w:val="666666"/>
          <w:spacing w:val="0"/>
          <w:sz w:val="18"/>
          <w:szCs w:val="18"/>
        </w:rPr>
      </w:pPr>
      <w:r>
        <w:rPr>
          <w:rFonts w:hint="default" w:ascii="Arial" w:hAnsi="Arial" w:eastAsia="宋体" w:cs="Arial"/>
          <w:i w:val="0"/>
          <w:caps w:val="0"/>
          <w:color w:val="666666"/>
          <w:spacing w:val="0"/>
          <w:kern w:val="0"/>
          <w:sz w:val="24"/>
          <w:szCs w:val="24"/>
          <w:bdr w:val="none" w:color="auto" w:sz="0" w:space="0"/>
          <w:lang w:val="en-US" w:eastAsia="zh-CN" w:bidi="ar"/>
        </w:rPr>
        <w:t>外接电源接口采用进口带相位转换功能的元件，可以根据使用现场情况快速调节相序，确保设备在任何情况下均可正常使用。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b/>
          <w:i w:val="0"/>
          <w:caps w:val="0"/>
          <w:color w:val="666666"/>
          <w:spacing w:val="0"/>
          <w:sz w:val="24"/>
          <w:szCs w:val="24"/>
          <w:bdr w:val="none" w:color="auto" w:sz="0" w:space="0"/>
        </w:rPr>
        <w:t>带有急停、强退装置的控制面板和遥控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drawing>
          <wp:inline distT="0" distB="0" distL="114300" distR="114300">
            <wp:extent cx="5297170" cy="3976370"/>
            <wp:effectExtent l="0" t="0" r="17780" b="508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297170" cy="397637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8096250" cy="71247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8096250" cy="71247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系统液压配置表格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rPr>
        <w:drawing>
          <wp:inline distT="0" distB="0" distL="114300" distR="114300">
            <wp:extent cx="6136005" cy="6771640"/>
            <wp:effectExtent l="0" t="0" r="17145" b="1016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6136005" cy="67716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t>移动压缩站工艺流程图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     </w:t>
      </w:r>
      <w:r>
        <w:rPr>
          <w:rFonts w:hint="default" w:ascii="Arial" w:hAnsi="Arial" w:cs="Arial"/>
          <w:i w:val="0"/>
          <w:caps w:val="0"/>
          <w:color w:val="666666"/>
          <w:spacing w:val="0"/>
          <w:sz w:val="18"/>
          <w:szCs w:val="18"/>
          <w:bdr w:val="none" w:color="auto" w:sz="0" w:space="0"/>
        </w:rPr>
        <w:drawing>
          <wp:inline distT="0" distB="0" distL="114300" distR="114300">
            <wp:extent cx="7143750" cy="53625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7143750" cy="5362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Fonts w:hint="default" w:ascii="Arial" w:hAnsi="Arial" w:cs="Arial"/>
          <w:i w:val="0"/>
          <w:caps w:val="0"/>
          <w:color w:val="666666"/>
          <w:spacing w:val="0"/>
          <w:sz w:val="18"/>
          <w:szCs w:val="18"/>
          <w:bdr w:val="none" w:color="auto" w:sz="0" w:space="0"/>
        </w:rPr>
        <w:t>推铲油缸往复运动驱动推铲推出、缩回，来实现垃圾的压缩功能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rPr>
          <w:color w:val="666666"/>
          <w:sz w:val="18"/>
          <w:szCs w:val="18"/>
        </w:rPr>
      </w:pPr>
      <w:r>
        <w:rPr>
          <w:rStyle w:val="9"/>
          <w:rFonts w:hint="default" w:ascii="Arial" w:hAnsi="Arial" w:cs="Arial"/>
          <w:i w:val="0"/>
          <w:caps w:val="0"/>
          <w:color w:val="666666"/>
          <w:spacing w:val="0"/>
          <w:sz w:val="27"/>
          <w:szCs w:val="27"/>
          <w:bdr w:val="none" w:color="auto" w:sz="0" w:space="0"/>
        </w:rPr>
        <w:t>垃圾压缩设备技术参数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Style w:val="9"/>
          <w:rFonts w:hint="default" w:ascii="Arial" w:hAnsi="Arial" w:cs="Arial"/>
          <w:i w:val="0"/>
          <w:caps w:val="0"/>
          <w:color w:val="666666"/>
          <w:spacing w:val="0"/>
          <w:sz w:val="18"/>
          <w:szCs w:val="18"/>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Style w:val="9"/>
          <w:rFonts w:hint="default" w:ascii="Arial" w:hAnsi="Arial" w:cs="Arial"/>
          <w:i w:val="0"/>
          <w:caps w:val="0"/>
          <w:color w:val="666666"/>
          <w:spacing w:val="0"/>
          <w:sz w:val="18"/>
          <w:szCs w:val="18"/>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Style w:val="9"/>
          <w:rFonts w:hint="default" w:ascii="Arial" w:hAnsi="Arial" w:cs="Arial"/>
          <w:i w:val="0"/>
          <w:caps w:val="0"/>
          <w:color w:val="666666"/>
          <w:spacing w:val="0"/>
          <w:sz w:val="18"/>
          <w:szCs w:val="18"/>
          <w:bdr w:val="none" w:color="auto" w:sz="0" w:space="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sz w:val="18"/>
          <w:szCs w:val="18"/>
        </w:rPr>
      </w:pPr>
      <w:r>
        <w:rPr>
          <w:rStyle w:val="9"/>
          <w:rFonts w:hint="default" w:ascii="Arial" w:hAnsi="Arial" w:cs="Arial"/>
          <w:i w:val="0"/>
          <w:caps w:val="0"/>
          <w:color w:val="666666"/>
          <w:spacing w:val="0"/>
          <w:sz w:val="18"/>
          <w:szCs w:val="18"/>
          <w:bdr w:val="none" w:color="auto" w:sz="0" w:space="0"/>
        </w:rPr>
        <w:t>18方移动压缩垃圾站（垃圾箱）</w:t>
      </w:r>
      <w:r>
        <w:rPr>
          <w:rFonts w:hint="default" w:ascii="Arial" w:hAnsi="Arial" w:cs="Arial"/>
          <w:i w:val="0"/>
          <w:caps w:val="0"/>
          <w:color w:val="666666"/>
          <w:spacing w:val="0"/>
          <w:sz w:val="18"/>
          <w:szCs w:val="18"/>
          <w:bdr w:val="none" w:color="auto" w:sz="0" w:space="0"/>
        </w:rPr>
        <w:t>：</w:t>
      </w:r>
    </w:p>
    <w:tbl>
      <w:tblPr>
        <w:tblW w:w="12000" w:type="dxa"/>
        <w:tblInd w:w="0" w:type="dxa"/>
        <w:shd w:val="clear"/>
        <w:tblLayout w:type="autofit"/>
        <w:tblCellMar>
          <w:top w:w="0" w:type="dxa"/>
          <w:left w:w="0" w:type="dxa"/>
          <w:bottom w:w="0" w:type="dxa"/>
          <w:right w:w="0" w:type="dxa"/>
        </w:tblCellMar>
      </w:tblPr>
      <w:tblGrid>
        <w:gridCol w:w="3491"/>
        <w:gridCol w:w="2273"/>
        <w:gridCol w:w="3400"/>
        <w:gridCol w:w="2836"/>
      </w:tblGrid>
      <w:tr>
        <w:tblPrEx>
          <w:shd w:val="clear"/>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ascii="微软雅黑" w:hAnsi="微软雅黑" w:eastAsia="微软雅黑" w:cs="微软雅黑"/>
                <w:color w:val="000000"/>
                <w:kern w:val="0"/>
                <w:sz w:val="18"/>
                <w:szCs w:val="18"/>
                <w:bdr w:val="none" w:color="auto" w:sz="0" w:space="0"/>
                <w:lang w:val="en-US" w:eastAsia="zh-CN" w:bidi="ar"/>
              </w:rPr>
              <w:t>箱体容积（</w:t>
            </w:r>
            <w:r>
              <w:rPr>
                <w:rFonts w:hint="eastAsia" w:ascii="微软雅黑" w:hAnsi="微软雅黑" w:eastAsia="微软雅黑" w:cs="微软雅黑"/>
                <w:color w:val="000000"/>
                <w:kern w:val="0"/>
                <w:sz w:val="18"/>
                <w:szCs w:val="18"/>
                <w:bdr w:val="none" w:color="auto" w:sz="0" w:space="0"/>
                <w:lang w:val="en-US" w:eastAsia="zh-CN" w:bidi="ar"/>
              </w:rPr>
              <w:t>m3</w:t>
            </w:r>
            <w:r>
              <w:rPr>
                <w:rFonts w:hint="eastAsia" w:ascii="微软雅黑" w:hAnsi="微软雅黑" w:eastAsia="微软雅黑" w:cs="微软雅黑"/>
                <w:color w:val="666666"/>
                <w:kern w:val="0"/>
                <w:sz w:val="22"/>
                <w:szCs w:val="22"/>
                <w:bdr w:val="none" w:color="auto" w:sz="0" w:space="0"/>
                <w:lang w:val="en-US" w:eastAsia="zh-CN" w:bidi="ar"/>
              </w:rPr>
              <w:t>）</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18</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外形尺寸:长*宽*高（mm）</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666666"/>
                <w:kern w:val="0"/>
                <w:sz w:val="18"/>
                <w:szCs w:val="18"/>
                <w:bdr w:val="none" w:color="auto" w:sz="0" w:space="0"/>
                <w:lang w:val="en-US" w:eastAsia="zh-CN" w:bidi="ar"/>
              </w:rPr>
              <w:t>6450×2495×2365</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翻料斗容积（m3</w:t>
            </w:r>
            <w:r>
              <w:rPr>
                <w:rFonts w:hint="eastAsia" w:ascii="微软雅黑" w:hAnsi="微软雅黑" w:eastAsia="微软雅黑" w:cs="微软雅黑"/>
                <w:color w:val="666666"/>
                <w:kern w:val="0"/>
                <w:sz w:val="22"/>
                <w:szCs w:val="22"/>
                <w:bdr w:val="none" w:color="auto" w:sz="0" w:space="0"/>
                <w:lang w:val="en-US" w:eastAsia="zh-CN" w:bidi="ar"/>
              </w:rPr>
              <w:t>）</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2.5</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设备投料口高度mm</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1530</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底梁宽度mm</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1060</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导向轮轮距mm</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2200</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吊耳中央高度(mm)</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1570</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液压系统额定压力（Mpa）</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21</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最大压缩力（KN）</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280</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电源</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380V.三相.15A，防水设计</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运行噪音dB</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≤65</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控制方式</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标配遥控操作控制器</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压实密度（t/ m3</w:t>
            </w:r>
            <w:r>
              <w:rPr>
                <w:rFonts w:hint="eastAsia" w:ascii="微软雅黑" w:hAnsi="微软雅黑" w:eastAsia="微软雅黑" w:cs="微软雅黑"/>
                <w:color w:val="666666"/>
                <w:kern w:val="0"/>
                <w:sz w:val="22"/>
                <w:szCs w:val="22"/>
                <w:bdr w:val="none" w:color="auto" w:sz="0" w:space="0"/>
                <w:lang w:val="en-US" w:eastAsia="zh-CN" w:bidi="ar"/>
              </w:rPr>
              <w:t>）</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可达0.8</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推头循环时间（S）</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≤42</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压缩腔单次循环行程容积（m3</w:t>
            </w:r>
            <w:r>
              <w:rPr>
                <w:rFonts w:hint="eastAsia" w:ascii="微软雅黑" w:hAnsi="微软雅黑" w:eastAsia="微软雅黑" w:cs="微软雅黑"/>
                <w:color w:val="666666"/>
                <w:kern w:val="0"/>
                <w:sz w:val="22"/>
                <w:szCs w:val="22"/>
                <w:bdr w:val="none" w:color="auto" w:sz="0" w:space="0"/>
                <w:lang w:val="en-US" w:eastAsia="zh-CN" w:bidi="ar"/>
              </w:rPr>
              <w:t>）</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1.2</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理论：单机处理垃圾量（m3</w:t>
            </w:r>
            <w:r>
              <w:rPr>
                <w:rFonts w:hint="eastAsia" w:ascii="微软雅黑" w:hAnsi="微软雅黑" w:eastAsia="微软雅黑" w:cs="微软雅黑"/>
                <w:color w:val="666666"/>
                <w:kern w:val="0"/>
                <w:sz w:val="22"/>
                <w:szCs w:val="22"/>
                <w:bdr w:val="none" w:color="auto" w:sz="0" w:space="0"/>
                <w:lang w:val="en-US" w:eastAsia="zh-CN" w:bidi="ar"/>
              </w:rPr>
              <w:t>/h）</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＞92</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电机功率（Kw）</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5.5</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卸料后门开启方式</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快换液压接头</w:t>
            </w:r>
          </w:p>
        </w:tc>
      </w:tr>
      <w:tr>
        <w:tblPrEx>
          <w:tblCellMar>
            <w:top w:w="0" w:type="dxa"/>
            <w:left w:w="0" w:type="dxa"/>
            <w:bottom w:w="0" w:type="dxa"/>
            <w:right w:w="0" w:type="dxa"/>
          </w:tblCellMar>
        </w:tblPrEx>
        <w:tc>
          <w:tcPr>
            <w:tcW w:w="288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整机重量（kg）</w:t>
            </w:r>
          </w:p>
        </w:tc>
        <w:tc>
          <w:tcPr>
            <w:tcW w:w="187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6000</w:t>
            </w:r>
          </w:p>
        </w:tc>
        <w:tc>
          <w:tcPr>
            <w:tcW w:w="2805"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配套车辆</w:t>
            </w:r>
          </w:p>
        </w:tc>
        <w:tc>
          <w:tcPr>
            <w:tcW w:w="2340" w:type="dxa"/>
            <w:tcBorders>
              <w:top w:val="single" w:color="auto" w:sz="8" w:space="0"/>
              <w:left w:val="single" w:color="auto" w:sz="8" w:space="0"/>
              <w:bottom w:val="single" w:color="auto" w:sz="8" w:space="0"/>
              <w:right w:val="single" w:color="auto" w:sz="8" w:space="0"/>
            </w:tcBorders>
            <w:shd w:val="clear" w:color="auto" w:fill="FFFFFF"/>
            <w:tcMar>
              <w:top w:w="75" w:type="dxa"/>
              <w:left w:w="75" w:type="dxa"/>
              <w:bottom w:w="75" w:type="dxa"/>
              <w:right w:w="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textAlignment w:val="center"/>
              <w:rPr>
                <w:sz w:val="18"/>
                <w:szCs w:val="18"/>
              </w:rPr>
            </w:pPr>
            <w:r>
              <w:rPr>
                <w:rFonts w:hint="eastAsia" w:ascii="微软雅黑" w:hAnsi="微软雅黑" w:eastAsia="微软雅黑" w:cs="微软雅黑"/>
                <w:color w:val="000000"/>
                <w:kern w:val="0"/>
                <w:sz w:val="18"/>
                <w:szCs w:val="18"/>
                <w:bdr w:val="none" w:color="auto" w:sz="0" w:space="0"/>
                <w:lang w:val="en-US" w:eastAsia="zh-CN" w:bidi="ar"/>
              </w:rPr>
              <w:t>双桥勾臂车</w:t>
            </w:r>
          </w:p>
        </w:tc>
      </w:tr>
    </w:tbl>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val="en-US" w:eastAsia="zh-CN"/>
        </w:rPr>
      </w:pPr>
      <w:r>
        <w:rPr>
          <w:rFonts w:hint="eastAsia"/>
          <w:lang w:val="en-US" w:eastAsia="zh-CN"/>
        </w:rPr>
        <w:t>18方压缩垃圾站配套拉臂式垃圾车</w:t>
      </w:r>
    </w:p>
    <w:p>
      <w:pPr>
        <w:pStyle w:val="2"/>
        <w:rPr>
          <w:rFonts w:hint="eastAsia"/>
          <w:lang w:val="en-US" w:eastAsia="zh-CN"/>
        </w:rPr>
      </w:pPr>
      <w:r>
        <w:rPr>
          <w:rFonts w:hint="eastAsia"/>
          <w:lang w:val="en-US" w:eastAsia="zh-CN"/>
        </w:rPr>
        <w:drawing>
          <wp:inline distT="0" distB="0" distL="114300" distR="114300">
            <wp:extent cx="5273040" cy="3954780"/>
            <wp:effectExtent l="0" t="0" r="3810" b="7620"/>
            <wp:docPr id="26" name="图片 26" descr="201903225852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19032258524053"/>
                    <pic:cNvPicPr>
                      <a:picLocks noChangeAspect="1"/>
                    </pic:cNvPicPr>
                  </pic:nvPicPr>
                  <pic:blipFill>
                    <a:blip r:embed="rId23"/>
                    <a:stretch>
                      <a:fillRect/>
                    </a:stretch>
                  </pic:blipFill>
                  <pic:spPr>
                    <a:xfrm>
                      <a:off x="0" y="0"/>
                      <a:ext cx="5273040" cy="3954780"/>
                    </a:xfrm>
                    <a:prstGeom prst="rect">
                      <a:avLst/>
                    </a:prstGeom>
                  </pic:spPr>
                </pic:pic>
              </a:graphicData>
            </a:graphic>
          </wp:inline>
        </w:drawing>
      </w:r>
      <w:r>
        <w:rPr>
          <w:rFonts w:hint="eastAsia"/>
          <w:lang w:val="en-US" w:eastAsia="zh-CN"/>
        </w:rPr>
        <w:drawing>
          <wp:inline distT="0" distB="0" distL="114300" distR="114300">
            <wp:extent cx="5266690" cy="2971165"/>
            <wp:effectExtent l="0" t="0" r="10160" b="635"/>
            <wp:docPr id="25" name="图片 25" descr="201806124428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18061244283257"/>
                    <pic:cNvPicPr>
                      <a:picLocks noChangeAspect="1"/>
                    </pic:cNvPicPr>
                  </pic:nvPicPr>
                  <pic:blipFill>
                    <a:blip r:embed="rId24"/>
                    <a:stretch>
                      <a:fillRect/>
                    </a:stretch>
                  </pic:blipFill>
                  <pic:spPr>
                    <a:xfrm>
                      <a:off x="0" y="0"/>
                      <a:ext cx="5266690" cy="2971165"/>
                    </a:xfrm>
                    <a:prstGeom prst="rect">
                      <a:avLst/>
                    </a:prstGeom>
                  </pic:spPr>
                </pic:pic>
              </a:graphicData>
            </a:graphic>
          </wp:inline>
        </w:drawing>
      </w:r>
      <w:r>
        <w:rPr>
          <w:rFonts w:hint="eastAsia"/>
          <w:lang w:val="en-US" w:eastAsia="zh-CN"/>
        </w:rPr>
        <w:drawing>
          <wp:inline distT="0" distB="0" distL="114300" distR="114300">
            <wp:extent cx="5266690" cy="2971165"/>
            <wp:effectExtent l="0" t="0" r="10160" b="635"/>
            <wp:docPr id="24" name="图片 24" descr="201806124428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8061244283489"/>
                    <pic:cNvPicPr>
                      <a:picLocks noChangeAspect="1"/>
                    </pic:cNvPicPr>
                  </pic:nvPicPr>
                  <pic:blipFill>
                    <a:blip r:embed="rId25"/>
                    <a:stretch>
                      <a:fillRect/>
                    </a:stretch>
                  </pic:blipFill>
                  <pic:spPr>
                    <a:xfrm>
                      <a:off x="0" y="0"/>
                      <a:ext cx="5266690" cy="2971165"/>
                    </a:xfrm>
                    <a:prstGeom prst="rect">
                      <a:avLst/>
                    </a:prstGeom>
                  </pic:spPr>
                </pic:pic>
              </a:graphicData>
            </a:graphic>
          </wp:inline>
        </w:drawing>
      </w:r>
      <w:r>
        <w:rPr>
          <w:rFonts w:hint="eastAsia"/>
          <w:lang w:val="en-US" w:eastAsia="zh-CN"/>
        </w:rPr>
        <w:drawing>
          <wp:inline distT="0" distB="0" distL="114300" distR="114300">
            <wp:extent cx="5273040" cy="3954780"/>
            <wp:effectExtent l="0" t="0" r="3810" b="7620"/>
            <wp:docPr id="23" name="图片 23" descr="201903225371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9032253718917"/>
                    <pic:cNvPicPr>
                      <a:picLocks noChangeAspect="1"/>
                    </pic:cNvPicPr>
                  </pic:nvPicPr>
                  <pic:blipFill>
                    <a:blip r:embed="rId26"/>
                    <a:stretch>
                      <a:fillRect/>
                    </a:stretch>
                  </pic:blipFill>
                  <pic:spPr>
                    <a:xfrm>
                      <a:off x="0" y="0"/>
                      <a:ext cx="5273040" cy="3954780"/>
                    </a:xfrm>
                    <a:prstGeom prst="rect">
                      <a:avLst/>
                    </a:prstGeom>
                  </pic:spPr>
                </pic:pic>
              </a:graphicData>
            </a:graphic>
          </wp:inline>
        </w:drawing>
      </w:r>
      <w:r>
        <w:rPr>
          <w:rFonts w:hint="eastAsia"/>
          <w:lang w:val="en-US" w:eastAsia="zh-CN"/>
        </w:rPr>
        <w:drawing>
          <wp:inline distT="0" distB="0" distL="114300" distR="114300">
            <wp:extent cx="5269230" cy="3952240"/>
            <wp:effectExtent l="0" t="0" r="7620" b="10160"/>
            <wp:docPr id="22" name="图片 22" descr="20190322584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9032258405121"/>
                    <pic:cNvPicPr>
                      <a:picLocks noChangeAspect="1"/>
                    </pic:cNvPicPr>
                  </pic:nvPicPr>
                  <pic:blipFill>
                    <a:blip r:embed="rId27"/>
                    <a:stretch>
                      <a:fillRect/>
                    </a:stretch>
                  </pic:blipFill>
                  <pic:spPr>
                    <a:xfrm>
                      <a:off x="0" y="0"/>
                      <a:ext cx="5269230" cy="3952240"/>
                    </a:xfrm>
                    <a:prstGeom prst="rect">
                      <a:avLst/>
                    </a:prstGeom>
                  </pic:spPr>
                </pic:pic>
              </a:graphicData>
            </a:graphic>
          </wp:inline>
        </w:drawing>
      </w:r>
      <w:r>
        <w:rPr>
          <w:rFonts w:hint="eastAsia"/>
          <w:lang w:val="en-US" w:eastAsia="zh-CN"/>
        </w:rPr>
        <w:drawing>
          <wp:inline distT="0" distB="0" distL="114300" distR="114300">
            <wp:extent cx="5273040" cy="3954780"/>
            <wp:effectExtent l="0" t="0" r="3810" b="7620"/>
            <wp:docPr id="21" name="图片 21" descr="201903225841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19032258410373"/>
                    <pic:cNvPicPr>
                      <a:picLocks noChangeAspect="1"/>
                    </pic:cNvPicPr>
                  </pic:nvPicPr>
                  <pic:blipFill>
                    <a:blip r:embed="rId23"/>
                    <a:stretch>
                      <a:fillRect/>
                    </a:stretch>
                  </pic:blipFill>
                  <pic:spPr>
                    <a:xfrm>
                      <a:off x="0" y="0"/>
                      <a:ext cx="5273040" cy="3954780"/>
                    </a:xfrm>
                    <a:prstGeom prst="rect">
                      <a:avLst/>
                    </a:prstGeom>
                  </pic:spPr>
                </pic:pic>
              </a:graphicData>
            </a:graphic>
          </wp:inline>
        </w:drawing>
      </w:r>
      <w:r>
        <w:rPr>
          <w:rFonts w:hint="eastAsia"/>
          <w:lang w:val="en-US" w:eastAsia="zh-CN"/>
        </w:rPr>
        <w:drawing>
          <wp:inline distT="0" distB="0" distL="114300" distR="114300">
            <wp:extent cx="5269230" cy="3952240"/>
            <wp:effectExtent l="0" t="0" r="7620" b="10160"/>
            <wp:docPr id="20" name="图片 20" descr="20190322585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9032258523693"/>
                    <pic:cNvPicPr>
                      <a:picLocks noChangeAspect="1"/>
                    </pic:cNvPicPr>
                  </pic:nvPicPr>
                  <pic:blipFill>
                    <a:blip r:embed="rId27"/>
                    <a:stretch>
                      <a:fillRect/>
                    </a:stretch>
                  </pic:blipFill>
                  <pic:spPr>
                    <a:xfrm>
                      <a:off x="0" y="0"/>
                      <a:ext cx="5269230" cy="395224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A4036F"/>
    <w:rsid w:val="09080280"/>
    <w:rsid w:val="1DC65A18"/>
    <w:rsid w:val="238D1910"/>
    <w:rsid w:val="321D07C7"/>
    <w:rsid w:val="4CC269AC"/>
    <w:rsid w:val="721F480E"/>
    <w:rsid w:val="77A4036F"/>
    <w:rsid w:val="7ED52C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240" w:after="24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11"/>
    <w:qFormat/>
    <w:uiPriority w:val="0"/>
    <w:pPr>
      <w:keepNext/>
      <w:keepLines/>
      <w:spacing w:before="220" w:beforeLines="0" w:beforeAutospacing="0" w:after="240" w:afterLines="0" w:afterAutospacing="0" w:line="576" w:lineRule="auto"/>
      <w:outlineLvl w:val="0"/>
    </w:pPr>
    <w:rPr>
      <w:rFonts w:ascii="Times New Roman" w:hAnsi="Times New Roman"/>
      <w:b/>
      <w:kern w:val="44"/>
      <w:sz w:val="32"/>
      <w:szCs w:val="21"/>
    </w:rPr>
  </w:style>
  <w:style w:type="paragraph" w:styleId="4">
    <w:name w:val="heading 2"/>
    <w:basedOn w:val="1"/>
    <w:next w:val="1"/>
    <w:semiHidden/>
    <w:unhideWhenUsed/>
    <w:qFormat/>
    <w:uiPriority w:val="0"/>
    <w:pPr>
      <w:keepNext/>
      <w:keepLines/>
      <w:spacing w:before="260" w:after="260" w:line="413" w:lineRule="auto"/>
      <w:ind w:firstLine="628"/>
      <w:jc w:val="left"/>
      <w:outlineLvl w:val="1"/>
    </w:pPr>
    <w:rPr>
      <w:rFonts w:ascii="Arial" w:hAnsi="Arial" w:eastAsia="黑体" w:cs="Times New Roman"/>
      <w:b/>
      <w:bCs/>
      <w:kern w:val="0"/>
      <w:sz w:val="30"/>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 w:type="character" w:customStyle="1" w:styleId="11">
    <w:name w:val="标题 1 Char"/>
    <w:link w:val="3"/>
    <w:qFormat/>
    <w:uiPriority w:val="0"/>
    <w:rPr>
      <w:rFonts w:ascii="Times New Roman" w:hAnsi="Times New Roman" w:eastAsia="宋体" w:cs="Times New Roman"/>
      <w:b/>
      <w:kern w:val="44"/>
      <w:sz w:val="3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2020-06-04T09:11:00Z</dcterms:created>
  <dc:creator>Dream flyin~MXS</dc:creator>
  <cp:lastModifiedBy>Dream flyin~MXS</cp:lastModifiedBy>
  <dcterms:modified xsi:type="dcterms:W3CDTF">2020-06-04T09:14:11Z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